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49BED" w14:textId="77777777" w:rsidR="00150B0D" w:rsidRPr="00150B0D" w:rsidRDefault="00150B0D" w:rsidP="00150B0D">
      <w:pPr>
        <w:jc w:val="center"/>
        <w:rPr>
          <w:rFonts w:ascii="Times New Roman" w:hAnsi="Times New Roman" w:cs="Times New Roman"/>
          <w:b/>
          <w:bCs/>
          <w:sz w:val="28"/>
          <w:szCs w:val="28"/>
        </w:rPr>
      </w:pPr>
      <w:r w:rsidRPr="00150B0D">
        <w:rPr>
          <w:rFonts w:ascii="Times New Roman" w:hAnsi="Times New Roman" w:cs="Times New Roman"/>
          <w:b/>
          <w:bCs/>
          <w:sz w:val="28"/>
          <w:szCs w:val="28"/>
        </w:rPr>
        <w:t>Ответственность граждан Российской Федерации, иностранных граждан и лиц без гражданства за осуществление экстремистской деятельности</w:t>
      </w:r>
    </w:p>
    <w:p w14:paraId="656D6C1E"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 Закон № 114-ФЗ определяет общие положения, касающиеся привлечения к ответственности лиц, осуществляющих экстремистскую деятельность. При этом речь идет о гражданах РФ, иностранных гражданах и лицах без гражданства. </w:t>
      </w:r>
    </w:p>
    <w:p w14:paraId="671B56A6"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Согласно ст. 3 Федерального закона от 31 мая 2002 г. № 62-ФЗ "О гражданстве РФ" гражданство РФ - это устойчивая правовая связь лица с РФ, выражающаяся в совокупности их взаимных прав и обязанностей. Гражданами РФ являются: </w:t>
      </w:r>
    </w:p>
    <w:p w14:paraId="29089E77"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 - лица, имеющие гражданство РФ на день вступления в силу Закона о гражданстве РФ</w:t>
      </w:r>
      <w:r>
        <w:rPr>
          <w:rFonts w:ascii="Times New Roman" w:hAnsi="Times New Roman" w:cs="Times New Roman"/>
          <w:sz w:val="28"/>
          <w:szCs w:val="28"/>
        </w:rPr>
        <w:t>;</w:t>
      </w:r>
    </w:p>
    <w:p w14:paraId="750459F9"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 лица, которые приобрели гражданство РФ в соответствии с Законом о гражданстве РФ. </w:t>
      </w:r>
    </w:p>
    <w:p w14:paraId="705DE24C"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Гражданство РФ может быть приобретено (ст. 11 ФЗ "О гражданстве РФ"):</w:t>
      </w:r>
    </w:p>
    <w:p w14:paraId="1B882DD3" w14:textId="77777777" w:rsidR="00FD199F"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по рождению;</w:t>
      </w:r>
    </w:p>
    <w:p w14:paraId="5DDBB4A0" w14:textId="4BEB7B16"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-в результате приема в гражданство РФ;</w:t>
      </w:r>
    </w:p>
    <w:p w14:paraId="209F0C86"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в результате восстановления в гражданстве РФ;</w:t>
      </w:r>
    </w:p>
    <w:p w14:paraId="1DF7B401"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по иным основаниям, предусмотренным Законом о гражданстве РФ или международным договором РФ.</w:t>
      </w:r>
    </w:p>
    <w:p w14:paraId="45FAA48F"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 Иностранным гражданином признается лицо, не являющееся гражданином РФ и имеющее гражданство (подданство) иностранного государства. В свою очередь, лицом без гражданства признается лицо, не являющееся гражданином РФ и не имеющее доказательства наличия гражданства иностранного государства. В основном в качестве преступлений в виде совершения экстремистских действий упоминают ст. 280, 282, 282.1, 282.2 УК РФ. Однако, по нашему мнению, круг преступлений, носящих экстремистскую окраску, намного шире. Так, указанием Генпрокуратуры РФ № 399/11, МВД РФ № 1 от 28 декабря 2009 г. был утвержден Перечень преступлений экстремистской направленности. Лицо, осуществлявшее экстремистскую деятельность, может быть ограничено в доступе к государственной или муниципальной службе, военной службе по контракту и службе в правоохранительных органах. Кроме того, возможно ограничение в поступлении на работу в образовательные учреждения, в занятии частной детективной или охранной деятельностью. Как видим, в данном случае речь идет прежде всего о сферах, авторитет которых может быть умален за счет работы в них лица, осуществлявшего экстремистскую деятельность. Кроме того, ограничение предусмотрено в тех </w:t>
      </w:r>
      <w:r w:rsidRPr="00150B0D">
        <w:rPr>
          <w:rFonts w:ascii="Times New Roman" w:hAnsi="Times New Roman" w:cs="Times New Roman"/>
          <w:sz w:val="28"/>
          <w:szCs w:val="28"/>
        </w:rPr>
        <w:lastRenderedPageBreak/>
        <w:t xml:space="preserve">сферах, где лицо может использовать то или иное оружие. И, естественно, недопущение в образовательные учреждения является актуальным, поскольку взгляды экстремиста могут оказать серьезное негативное воздействие на несформировавшуюся юную психику. Также Закон предусматривает возможность привлечения к ответственности религиозного или общественного объединения или иной организации в случае, если их руководитель или член руководящего органа осуществляет экстремистские призывы. Указанные объединения или организации должны публично заявить о своем несогласии с высказываниями или действиями такого лица. В противном случае такое объединение или организация могут быть признаны экстремистскими, то есть высказывания руководящего органа (руководителя) будут приписаны самой организации. </w:t>
      </w:r>
    </w:p>
    <w:p w14:paraId="72DEAC25" w14:textId="77777777" w:rsidR="00150B0D" w:rsidRDefault="00150B0D" w:rsidP="00150B0D">
      <w:pPr>
        <w:jc w:val="both"/>
        <w:rPr>
          <w:rFonts w:ascii="Times New Roman" w:hAnsi="Times New Roman" w:cs="Times New Roman"/>
          <w:sz w:val="28"/>
          <w:szCs w:val="28"/>
        </w:rPr>
      </w:pPr>
      <w:r w:rsidRPr="00150B0D">
        <w:rPr>
          <w:rFonts w:ascii="Times New Roman" w:hAnsi="Times New Roman" w:cs="Times New Roman"/>
          <w:sz w:val="28"/>
          <w:szCs w:val="28"/>
        </w:rPr>
        <w:t xml:space="preserve">Например, выбор гражданства при изменении территориальной границы РФ; приобретение гражданства ребенком при приобретении обоими его родителями или его единственным родителем гражданства РФ. Также действующим законодательством предусмотрены и иные случаи приобретения гражданства РФ. 231 Такие же последствия для объединения или иной организации наступают в случае, если имеется вступивший в законную силу приговор суда в отношении такого лица за совершение им преступления экстремистской направленности. Вместе с тем если само лицо, высказавшее экстремистские призывы, укажет на то, что они являются лишь его мнением, то указанная выше ответственность для объединения или иной организации не наступает. Данная статья предусматривает ответственность для автора печатных, аудио-, аудиовизуальных и иных материалов (произведений), предназначенных для публичного использования и содержащих хотя бы один из признаков экстремизма. Такой автор признается осуществляющим экстремистскую деятельность и несет ответственность в соответствии с законом. Для того, чтобы определиться с понятиями, необходимо обратиться к ч. 4 ГК РФ, посвященной праву интеллектуальной собственности. Согласно ст. 1257 ГК РФ автором произведения науки, литературы или искусства признается гражданин, творческим трудом которого оно создано. При этом лицо, указанное в качестве автора на оригинале или экземпляре произведения, считается автором, если не доказано иное. Иные доказательства авторства могут потребоваться в случае оспаривания права авторства. Представляется, что в данном случае будет возможным применение положений ГК РФ о соавторстве. Граждане, создавшие произведение совместным творческим трудом, признаются соавторами независимо от того, образует ли такое произведение неразрывное целое или состоит из частей, каждая из которых имеет самостоятельное значение. В свою очередь, согласно ст. 1263 ГК РФ аудиовизуальным произведением является произведение, состоящее из зафиксированной серии связанных между собой изображений (с </w:t>
      </w:r>
      <w:r w:rsidRPr="00150B0D">
        <w:rPr>
          <w:rFonts w:ascii="Times New Roman" w:hAnsi="Times New Roman" w:cs="Times New Roman"/>
          <w:sz w:val="28"/>
          <w:szCs w:val="28"/>
        </w:rPr>
        <w:lastRenderedPageBreak/>
        <w:t xml:space="preserve">сопровождением или без сопровождения звуком) и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а также все произведения, выраженные средствами, аналогичными кинематографическим (теле- и </w:t>
      </w:r>
      <w:proofErr w:type="gramStart"/>
      <w:r w:rsidRPr="00150B0D">
        <w:rPr>
          <w:rFonts w:ascii="Times New Roman" w:hAnsi="Times New Roman" w:cs="Times New Roman"/>
          <w:sz w:val="28"/>
          <w:szCs w:val="28"/>
        </w:rPr>
        <w:t>видеофильмы</w:t>
      </w:r>
      <w:proofErr w:type="gramEnd"/>
      <w:r w:rsidRPr="00150B0D">
        <w:rPr>
          <w:rFonts w:ascii="Times New Roman" w:hAnsi="Times New Roman" w:cs="Times New Roman"/>
          <w:sz w:val="28"/>
          <w:szCs w:val="28"/>
        </w:rPr>
        <w:t xml:space="preserve"> и другие подобные произведения), независимо от способа их первоначальной или последующей фиксации. Авторами аудиовизуального произведения являются: 1) режиссер-постановщик; 2) автор сценария; 3) композитор, являющийся автором музыкального произведения (с текстом или без текста), специально созданного для этого аудиовизуального произведения. Такие авторы могут быть привлечены к административной ответственности, например, по ст. 20.3 "Пропаганда" и публичное демонстрирование нацистской атрибутики или символики : п. 42 Постановления Пленума Верховного Суда РФ № 5, Пленума Высшего Арбитражного Суда РФ № 29 от 26 марта 2009 г. 232 и ст. 20.29 "Производство и распространение экстремистских материалов". Допускается привлечение такого автора и к уголовной ответственности, например, по ст. 280 УК РФ "Публичные призывы к осуществлению экстремистской деятельности" и ст. 282 УК РФ "Возбуждение ненависти либо вражды, а равно унижение человеческого достоинства". </w:t>
      </w:r>
    </w:p>
    <w:p w14:paraId="1897B63F"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xml:space="preserve">Недопущение осуществления экстремистской деятельности при проведении массовых </w:t>
      </w:r>
      <w:proofErr w:type="gramStart"/>
      <w:r w:rsidRPr="00150B0D">
        <w:rPr>
          <w:rFonts w:ascii="Times New Roman" w:hAnsi="Times New Roman" w:cs="Times New Roman"/>
          <w:sz w:val="28"/>
          <w:szCs w:val="28"/>
        </w:rPr>
        <w:t>акций</w:t>
      </w:r>
      <w:proofErr w:type="gramEnd"/>
      <w:r w:rsidRPr="00150B0D">
        <w:rPr>
          <w:rFonts w:ascii="Times New Roman" w:hAnsi="Times New Roman" w:cs="Times New Roman"/>
          <w:sz w:val="28"/>
          <w:szCs w:val="28"/>
        </w:rPr>
        <w:t xml:space="preserve"> В законе раскрывается комплекс мер по борьбе с проявлениями экстремизма при проведении массовых мероприятий. Отметим, что согласно ст. 2 Федерального закона от 19 июня 2004 г. № 54-ФЗ "О собраниях, митингах, демонстрациях, шествиях и пикетированиях" (далее - Закон о митингах) под публичным мероприятием понимается открытая, мирная, доступная каждому, проводимая в форме собрания, митинга, демонстрации, шествия или пикетирования либо в различных сочетаниях этих форм акция, осуществляемая по инициативе граждан РФ, политических партий, других общественных объединений и религиозных объединений. Целью публичного мероприятия является свободное выражение и формирование мнений, а также выдвижение требований по различным вопросам политической, экономической, социальной и культурной жизни страны и вопросам внешней политики. </w:t>
      </w:r>
    </w:p>
    <w:p w14:paraId="582A423D"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xml:space="preserve">Собрание - совместное присутствие граждан в специально отведенном или приспособленном для этого месте для коллективного обсуждения </w:t>
      </w:r>
      <w:proofErr w:type="gramStart"/>
      <w:r w:rsidRPr="00150B0D">
        <w:rPr>
          <w:rFonts w:ascii="Times New Roman" w:hAnsi="Times New Roman" w:cs="Times New Roman"/>
          <w:sz w:val="28"/>
          <w:szCs w:val="28"/>
        </w:rPr>
        <w:t>каких либо</w:t>
      </w:r>
      <w:proofErr w:type="gramEnd"/>
      <w:r w:rsidRPr="00150B0D">
        <w:rPr>
          <w:rFonts w:ascii="Times New Roman" w:hAnsi="Times New Roman" w:cs="Times New Roman"/>
          <w:sz w:val="28"/>
          <w:szCs w:val="28"/>
        </w:rPr>
        <w:t xml:space="preserve"> общественно значимых вопросов. </w:t>
      </w:r>
    </w:p>
    <w:p w14:paraId="5FE246F4"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xml:space="preserve">Митинг - массовое присутствие граждан в определенном месте для публичного выражения общественного мнения по поводу актуальных проблем преимущественно общественно-политического характера. </w:t>
      </w:r>
    </w:p>
    <w:p w14:paraId="665BA7DB"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lastRenderedPageBreak/>
        <w:t xml:space="preserve">Демонстрация - организованное публичное выражение общественных настроений группой граждан с использованием во время передвижения плакатов, транспарантов и иных средств наглядной агитации. </w:t>
      </w:r>
    </w:p>
    <w:p w14:paraId="57D7A087"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Шествие - массовое прохождение граждан по заранее определенному маршруту в целях привлечения внимания к каким-либо проблемам. Пикетирование - форма публичного выражения мнений, осуществляемого без передвижения и использования звукоусиливающих технических средств путем размещения у пикетируемого объекта одного или более граждан, использующих плакаты, транспаранты и иные средства наглядной агитации. Организаторами публичного мероприятия могут быть следующие субъекты, взявшие на себя обязательство по организации и проведению публичного мероприятия: один или несколько граждан РФ</w:t>
      </w:r>
      <w:r>
        <w:rPr>
          <w:rFonts w:ascii="Times New Roman" w:hAnsi="Times New Roman" w:cs="Times New Roman"/>
          <w:sz w:val="28"/>
          <w:szCs w:val="28"/>
        </w:rPr>
        <w:t xml:space="preserve">, </w:t>
      </w:r>
      <w:proofErr w:type="spellStart"/>
      <w:r w:rsidRPr="00150B0D">
        <w:rPr>
          <w:rFonts w:ascii="Times New Roman" w:hAnsi="Times New Roman" w:cs="Times New Roman"/>
          <w:sz w:val="28"/>
          <w:szCs w:val="28"/>
        </w:rPr>
        <w:t>рганизатором</w:t>
      </w:r>
      <w:proofErr w:type="spellEnd"/>
      <w:r w:rsidRPr="00150B0D">
        <w:rPr>
          <w:rFonts w:ascii="Times New Roman" w:hAnsi="Times New Roman" w:cs="Times New Roman"/>
          <w:sz w:val="28"/>
          <w:szCs w:val="28"/>
        </w:rPr>
        <w:t xml:space="preserve"> демонстраций, шествий и пикетирований - гражданин РФ, достигший возраста 18 лет, митингов и собраний - 16 лет</w:t>
      </w:r>
      <w:r>
        <w:rPr>
          <w:rFonts w:ascii="Times New Roman" w:hAnsi="Times New Roman" w:cs="Times New Roman"/>
          <w:sz w:val="28"/>
          <w:szCs w:val="28"/>
        </w:rPr>
        <w:t>,</w:t>
      </w:r>
      <w:r w:rsidRPr="00150B0D">
        <w:rPr>
          <w:rFonts w:ascii="Times New Roman" w:hAnsi="Times New Roman" w:cs="Times New Roman"/>
          <w:sz w:val="28"/>
          <w:szCs w:val="28"/>
        </w:rPr>
        <w:t xml:space="preserve"> политические партии, другие общественные и религиозные объединения, их региональные отделения и иные структурные подразделения. </w:t>
      </w:r>
    </w:p>
    <w:p w14:paraId="03E5A24A"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Организаторами публичного мероприятия не могут быть: лицо, признанное судом недееспособным либо ограниченно дееспособным, а также лицо, содержащееся в местах лишения свободы по приговору суда; политическая партия, другое общественное объединение и религиозное объединение, их региональные отделения и иные структурные подразделения, деятельность которых приостановлена или запрещена либо которые ликвидированы в установленном законом порядке. На организаторов публичного мероприятия Закон накладывает определенные обязанности по организации. Так, в организацию включается:</w:t>
      </w:r>
    </w:p>
    <w:p w14:paraId="727899E2"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оповещение возможных участников публичного мероприятия и подача уведомления о проведении публичного мероприятия в соответствующий орган исполнительной власти субъекта РФ или орган местного самоуправления;</w:t>
      </w:r>
    </w:p>
    <w:p w14:paraId="7D1AB2B9"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проведение предварительной агитации;</w:t>
      </w:r>
    </w:p>
    <w:p w14:paraId="405BF4B9"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изготовление и распространение средств наглядной агитации;</w:t>
      </w:r>
    </w:p>
    <w:p w14:paraId="43DB3056" w14:textId="77777777" w:rsid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xml:space="preserve">- другие действия, не противоречащие законодательству РФ, совершаемые в целях подготовки и проведения публичного мероприятия. В обязанности организатора публичного мероприятия входят не только подача уведомления о проведении публичного мероприятия (ст. 7 Закона о митингах) и информирование органов власти субъекта РФ или местного самоуправления об изменении места и (или) времени проведения публичного мероприятия, но и обязанности по поддержанию порядка при проведении мероприятия. Так, согласно п. 4 ст. 5 Закона о митингах организатор, в частности, обязан: </w:t>
      </w:r>
      <w:r w:rsidRPr="00150B0D">
        <w:rPr>
          <w:rFonts w:ascii="Times New Roman" w:hAnsi="Times New Roman" w:cs="Times New Roman"/>
          <w:sz w:val="28"/>
          <w:szCs w:val="28"/>
        </w:rPr>
        <w:lastRenderedPageBreak/>
        <w:t>обеспечивать соблюдение условий проведения публичного мероприятия, указанных в уведомлении о проведении публичного мероприятия или измененных в результате согласования с органом исполнительной власти субъекта Российской Федерации или органом местного самоуправления; требовать от участников публичного мероприятия соблюдения общественного порядка и регламента проведения публичного мероприятия. Лица, не подчинившиеся законным требованиям организатора публичного мероприятия, могут быть удалены с места проведения данного публичного мероприятия; обеспечивать в пределах своей компетенции общественный порядок и безопасность граждан при проведении публичного мероприятия, а в случаях, предусмотренных Законом о митингах, выполнять эту обязанность совместно с уполномоченным представителем органа исполнительной власти субъекта РФ или органа местного самоуправления и уполномоченным представителем органа внутренних дел, выполняя при этом все их законные требования, и т.д. В том числе в соответствии со ст. 10 Закона о противодействии экстремистской деятельности.  При проведении публичных мероприятий их участникам воспрещается иметь при себе оружие. Исключение из данного правила применяется в местностях, где ношение холодного оружия является принадлежностью национального костюма. Кроме того, запрещается иметь при себе предметы, специально изготовленные и приспособленные для причинения вреда здоровью граждан или материального ущерба физическим и юридическим лицам. Также запрещено привлекать к проведению публичного мероприятия в качестве участников какие-либо экстремистские организации. Запрещено использовать их символику или атрибутику, а также распространять экстремистские материалы. Данное требование связано в том числе с тем, что при организации публичных мероприятий доступ к экстремистской информации, материалам может получить неограниченный круг лиц, а само мероприятие с участием экстремистских групп может не только повлечь за собой сильное психологическое воздействие на прочих участников, но и привести к совершению экстремистских действий. В случае, если будут выявлены факты привлечения экстремистских организаций, распространение экстремистских материалов, использование символики и атрибутики экстремистских организаций, организаторы публичного мероприятия обязаны самостоятельно принять меры по устранению указанных нарушений. Данное требование вытекает, в том числе из общих обязанностей организатора публичного мероприятия, установленных в Законе о митингах. Отметим, что уполномоченный представитель органов внутренних дел вправе по просьбе организатора и участников публичного мероприятия удалять с места его проведения граждан, не выполняющих законных требований организатора публичного мероприятия (</w:t>
      </w:r>
      <w:proofErr w:type="spellStart"/>
      <w:r w:rsidRPr="00150B0D">
        <w:rPr>
          <w:rFonts w:ascii="Times New Roman" w:hAnsi="Times New Roman" w:cs="Times New Roman"/>
          <w:sz w:val="28"/>
          <w:szCs w:val="28"/>
        </w:rPr>
        <w:t>пп</w:t>
      </w:r>
      <w:proofErr w:type="spellEnd"/>
      <w:r w:rsidRPr="00150B0D">
        <w:rPr>
          <w:rFonts w:ascii="Times New Roman" w:hAnsi="Times New Roman" w:cs="Times New Roman"/>
          <w:sz w:val="28"/>
          <w:szCs w:val="28"/>
        </w:rPr>
        <w:t xml:space="preserve">. 3 п. 2 ст. 14 Закона о митингах). Вместе с тем </w:t>
      </w:r>
      <w:r w:rsidRPr="00150B0D">
        <w:rPr>
          <w:rFonts w:ascii="Times New Roman" w:hAnsi="Times New Roman" w:cs="Times New Roman"/>
          <w:sz w:val="28"/>
          <w:szCs w:val="28"/>
        </w:rPr>
        <w:lastRenderedPageBreak/>
        <w:t xml:space="preserve">представляется необоснованным отнесение указанных действий представителем органа внутренних дел именно к его правам, а не обязанностям. Ведь в обязанности представителя органа внутренних дел входит соблюдение и контроль за соблюдением общественного порядка. В случае если не выполняются именно законные требования организатора публичного мероприятия, то логично установить, что у представителя органа внутренних дел должно быть не право, а обязанность удалять с места проведения публичного мероприятия нарушителей, не выполняющих именно законные требования организатора. В случае, если организатор не исполнит обязанность по устранению нарушений, публичное мероприятие подлежит прекращению по требованию представителей органов внутренних дел. В таком случае ответственность за совершение актов экстремизма возлагается, в том числе на организаторов публичного мероприятия. В случае допущенных нарушений организатор публичного мероприятия несет в том числе уголовную и административную ответственность.  Оружие - устройства и предметы, конструктивно предназначенные для поражения живой или иной цели, подачи сигналов (ст. 1 Федерального закона от 13 декабря 1996 г. № 150-ФЗ "Об оружии"). </w:t>
      </w:r>
    </w:p>
    <w:p w14:paraId="1BF7FE4E" w14:textId="2A61BE0F" w:rsidR="0054769C" w:rsidRPr="00150B0D" w:rsidRDefault="00150B0D" w:rsidP="00150B0D">
      <w:pPr>
        <w:ind w:firstLine="708"/>
        <w:jc w:val="both"/>
        <w:rPr>
          <w:rFonts w:ascii="Times New Roman" w:hAnsi="Times New Roman" w:cs="Times New Roman"/>
          <w:sz w:val="28"/>
          <w:szCs w:val="28"/>
        </w:rPr>
      </w:pPr>
      <w:r w:rsidRPr="00150B0D">
        <w:rPr>
          <w:rFonts w:ascii="Times New Roman" w:hAnsi="Times New Roman" w:cs="Times New Roman"/>
          <w:sz w:val="28"/>
          <w:szCs w:val="28"/>
        </w:rPr>
        <w:t xml:space="preserve"> Административная ответственность организатора публичного мероприятия наступает, в частности, по ст. 20.2 КоАП РФ "Нарушение установленного порядка организации либо проведения собрания, митинга, демонстрации, шествия и пикетирования", ст. 20.3 КоАП РФ "Пропаганда и публичное демонстрирование нацистской атрибутики или символики". Что касается уголовной ответственности, то организатор публичного мероприятия может быть привлечен к ответственности по ст. 222 УК РФ за незаконное приобретение, передачу, сбыт, хранение, перевозку или ношение оружия, его основных частей, боеприпасов, взрывчатых веществ и взрывных устройств (ст. 222 УК РФ), по ст. 280 УК РФ за публичные призывы к осуществлению экстремистской деятельности</w:t>
      </w:r>
      <w:r w:rsidR="005F70AB">
        <w:rPr>
          <w:rFonts w:ascii="Times New Roman" w:hAnsi="Times New Roman" w:cs="Times New Roman"/>
          <w:sz w:val="28"/>
          <w:szCs w:val="28"/>
        </w:rPr>
        <w:t>.</w:t>
      </w:r>
    </w:p>
    <w:sectPr w:rsidR="0054769C" w:rsidRPr="00150B0D">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7313" w14:textId="77777777" w:rsidR="00A57CDC" w:rsidRDefault="00A57CDC" w:rsidP="00FD199F">
      <w:pPr>
        <w:spacing w:after="0" w:line="240" w:lineRule="auto"/>
      </w:pPr>
      <w:r>
        <w:separator/>
      </w:r>
    </w:p>
  </w:endnote>
  <w:endnote w:type="continuationSeparator" w:id="0">
    <w:p w14:paraId="3F98A45A" w14:textId="77777777" w:rsidR="00A57CDC" w:rsidRDefault="00A57CDC" w:rsidP="00FD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68D4" w14:textId="77777777" w:rsidR="00A57CDC" w:rsidRDefault="00A57CDC" w:rsidP="00FD199F">
      <w:pPr>
        <w:spacing w:after="0" w:line="240" w:lineRule="auto"/>
      </w:pPr>
      <w:r>
        <w:separator/>
      </w:r>
    </w:p>
  </w:footnote>
  <w:footnote w:type="continuationSeparator" w:id="0">
    <w:p w14:paraId="37F99E9C" w14:textId="77777777" w:rsidR="00A57CDC" w:rsidRDefault="00A57CDC" w:rsidP="00FD1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776366"/>
      <w:docPartObj>
        <w:docPartGallery w:val="Page Numbers (Top of Page)"/>
        <w:docPartUnique/>
      </w:docPartObj>
    </w:sdtPr>
    <w:sdtContent>
      <w:p w14:paraId="5335F586" w14:textId="4FAC72DC" w:rsidR="00FD199F" w:rsidRDefault="00FD199F">
        <w:pPr>
          <w:pStyle w:val="ac"/>
          <w:jc w:val="right"/>
        </w:pPr>
        <w:r>
          <w:fldChar w:fldCharType="begin"/>
        </w:r>
        <w:r>
          <w:instrText>PAGE   \* MERGEFORMAT</w:instrText>
        </w:r>
        <w:r>
          <w:fldChar w:fldCharType="separate"/>
        </w:r>
        <w:r>
          <w:t>2</w:t>
        </w:r>
        <w:r>
          <w:fldChar w:fldCharType="end"/>
        </w:r>
      </w:p>
    </w:sdtContent>
  </w:sdt>
  <w:p w14:paraId="54B88238" w14:textId="77777777" w:rsidR="00FD199F" w:rsidRDefault="00FD199F">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88"/>
    <w:rsid w:val="00150B0D"/>
    <w:rsid w:val="0050704D"/>
    <w:rsid w:val="0054769C"/>
    <w:rsid w:val="005F70AB"/>
    <w:rsid w:val="006102EF"/>
    <w:rsid w:val="007A6A84"/>
    <w:rsid w:val="007E4374"/>
    <w:rsid w:val="00A57CDC"/>
    <w:rsid w:val="00A753D3"/>
    <w:rsid w:val="00C42544"/>
    <w:rsid w:val="00D972DB"/>
    <w:rsid w:val="00E32488"/>
    <w:rsid w:val="00FD19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A463F"/>
  <w15:chartTrackingRefBased/>
  <w15:docId w15:val="{7E396EDA-5186-47DD-8691-8F64F5598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24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324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3248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3248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3248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3248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248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248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248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248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3248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3248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3248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3248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3248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32488"/>
    <w:rPr>
      <w:rFonts w:eastAsiaTheme="majorEastAsia" w:cstheme="majorBidi"/>
      <w:color w:val="595959" w:themeColor="text1" w:themeTint="A6"/>
    </w:rPr>
  </w:style>
  <w:style w:type="character" w:customStyle="1" w:styleId="80">
    <w:name w:val="Заголовок 8 Знак"/>
    <w:basedOn w:val="a0"/>
    <w:link w:val="8"/>
    <w:uiPriority w:val="9"/>
    <w:semiHidden/>
    <w:rsid w:val="00E3248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32488"/>
    <w:rPr>
      <w:rFonts w:eastAsiaTheme="majorEastAsia" w:cstheme="majorBidi"/>
      <w:color w:val="272727" w:themeColor="text1" w:themeTint="D8"/>
    </w:rPr>
  </w:style>
  <w:style w:type="paragraph" w:styleId="a3">
    <w:name w:val="Title"/>
    <w:basedOn w:val="a"/>
    <w:next w:val="a"/>
    <w:link w:val="a4"/>
    <w:uiPriority w:val="10"/>
    <w:qFormat/>
    <w:rsid w:val="00E324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3248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248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3248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32488"/>
    <w:pPr>
      <w:spacing w:before="160"/>
      <w:jc w:val="center"/>
    </w:pPr>
    <w:rPr>
      <w:i/>
      <w:iCs/>
      <w:color w:val="404040" w:themeColor="text1" w:themeTint="BF"/>
    </w:rPr>
  </w:style>
  <w:style w:type="character" w:customStyle="1" w:styleId="22">
    <w:name w:val="Цитата 2 Знак"/>
    <w:basedOn w:val="a0"/>
    <w:link w:val="21"/>
    <w:uiPriority w:val="29"/>
    <w:rsid w:val="00E32488"/>
    <w:rPr>
      <w:i/>
      <w:iCs/>
      <w:color w:val="404040" w:themeColor="text1" w:themeTint="BF"/>
    </w:rPr>
  </w:style>
  <w:style w:type="paragraph" w:styleId="a7">
    <w:name w:val="List Paragraph"/>
    <w:basedOn w:val="a"/>
    <w:uiPriority w:val="34"/>
    <w:qFormat/>
    <w:rsid w:val="00E32488"/>
    <w:pPr>
      <w:ind w:left="720"/>
      <w:contextualSpacing/>
    </w:pPr>
  </w:style>
  <w:style w:type="character" w:styleId="a8">
    <w:name w:val="Intense Emphasis"/>
    <w:basedOn w:val="a0"/>
    <w:uiPriority w:val="21"/>
    <w:qFormat/>
    <w:rsid w:val="00E32488"/>
    <w:rPr>
      <w:i/>
      <w:iCs/>
      <w:color w:val="2F5496" w:themeColor="accent1" w:themeShade="BF"/>
    </w:rPr>
  </w:style>
  <w:style w:type="paragraph" w:styleId="a9">
    <w:name w:val="Intense Quote"/>
    <w:basedOn w:val="a"/>
    <w:next w:val="a"/>
    <w:link w:val="aa"/>
    <w:uiPriority w:val="30"/>
    <w:qFormat/>
    <w:rsid w:val="00E324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32488"/>
    <w:rPr>
      <w:i/>
      <w:iCs/>
      <w:color w:val="2F5496" w:themeColor="accent1" w:themeShade="BF"/>
    </w:rPr>
  </w:style>
  <w:style w:type="character" w:styleId="ab">
    <w:name w:val="Intense Reference"/>
    <w:basedOn w:val="a0"/>
    <w:uiPriority w:val="32"/>
    <w:qFormat/>
    <w:rsid w:val="00E32488"/>
    <w:rPr>
      <w:b/>
      <w:bCs/>
      <w:smallCaps/>
      <w:color w:val="2F5496" w:themeColor="accent1" w:themeShade="BF"/>
      <w:spacing w:val="5"/>
    </w:rPr>
  </w:style>
  <w:style w:type="paragraph" w:styleId="ac">
    <w:name w:val="header"/>
    <w:basedOn w:val="a"/>
    <w:link w:val="ad"/>
    <w:uiPriority w:val="99"/>
    <w:unhideWhenUsed/>
    <w:rsid w:val="00FD199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D199F"/>
  </w:style>
  <w:style w:type="paragraph" w:styleId="ae">
    <w:name w:val="footer"/>
    <w:basedOn w:val="a"/>
    <w:link w:val="af"/>
    <w:uiPriority w:val="99"/>
    <w:unhideWhenUsed/>
    <w:rsid w:val="00FD199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D19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2201</Words>
  <Characters>12552</Characters>
  <Application>Microsoft Office Word</Application>
  <DocSecurity>0</DocSecurity>
  <Lines>104</Lines>
  <Paragraphs>29</Paragraphs>
  <ScaleCrop>false</ScaleCrop>
  <Company/>
  <LinksUpToDate>false</LinksUpToDate>
  <CharactersWithSpaces>14724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5</cp:revision>
  <cp:lastPrinted>2026-03-12T11:24:00Z</cp:lastPrinted>
  <dcterms:created xsi:type="dcterms:W3CDTF">2026-03-12T10:49:00Z</dcterms:created>
  <dcterms:modified xsi:type="dcterms:W3CDTF">2026-03-12T11:25:00Z</dcterms:modified>
</cp:coreProperties>
</file>